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ind w:left="0" w:leftChars="0" w:right="0" w:rightChars="0"/>
        <w:jc w:val="both"/>
        <w:textAlignment w:val="auto"/>
        <w:outlineLvl w:val="9"/>
        <w:rPr>
          <w:rFonts w:ascii="Arial" w:hAnsi="Arial" w:eastAsia="Arial Unicode MS" w:cs="Arial"/>
          <w:szCs w:val="21"/>
        </w:rPr>
      </w:pPr>
      <w:r>
        <w:rPr>
          <w:rFonts w:hint="eastAsia" w:ascii="Arial" w:hAnsi="Arial" w:eastAsia="Arial Unicode MS" w:cs="Arial"/>
          <w:szCs w:val="21"/>
          <w:lang w:val="en-US" w:eastAsia="zh-CN"/>
        </w:rPr>
        <w:t xml:space="preserve">Additional file 3. </w:t>
      </w:r>
      <w:bookmarkStart w:id="0" w:name="OLE_LINK1"/>
      <w:r>
        <w:rPr>
          <w:rFonts w:ascii="Arial" w:hAnsi="Arial" w:eastAsia="Arial Unicode MS" w:cs="Arial"/>
          <w:szCs w:val="21"/>
        </w:rPr>
        <w:t xml:space="preserve">The baseline characteristics of primary stroke center (PSC) and comprehensive stroke center (CSC) 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ind w:left="0" w:leftChars="0" w:right="0" w:rightChars="0"/>
        <w:jc w:val="both"/>
        <w:textAlignment w:val="auto"/>
        <w:outlineLvl w:val="9"/>
        <w:rPr>
          <w:rFonts w:ascii="Arial" w:hAnsi="Arial" w:eastAsia="Arial Unicode MS" w:cs="Arial"/>
          <w:szCs w:val="21"/>
        </w:rPr>
      </w:pPr>
      <w:bookmarkStart w:id="1" w:name="_GoBack"/>
      <w:bookmarkEnd w:id="1"/>
    </w:p>
    <w:tbl>
      <w:tblPr>
        <w:tblStyle w:val="4"/>
        <w:tblW w:w="89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5"/>
        <w:gridCol w:w="1300"/>
        <w:gridCol w:w="1150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Entire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N=30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CSC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N=8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PSC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N=22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Capacity of hospital (beds)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Capacity of hospital department (median, beds)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1343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2240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Capacity of neurology department (median,beds)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82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117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Staff of stroke care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Stroke team 24*7 on call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30 (100%)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 (100%)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Neurosurgery 24*7 on call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30 (100%)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 (100%)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Neurointerventionist on call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25 (83.3%)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17 (77.3%)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Separate neuroradiologist on call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24 (80%)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16 (72.3%)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Professional rehab-physicians or technicians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29 (96.7%)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21 (95.5%)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Team of stroke care 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Brain CT scan (24*7)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30 (100%)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 (100%)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CT angiography and interpretation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25 (83.3%)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17 (77.3%)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Transesophageal echocardiography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 (73.3%)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14 (63.6%)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Complete blood counts test (24*7)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30 (100%)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 (100%)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Blood biochemistry test (24*7)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30 (100%)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 (100%)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Rapid blood coagulation test (24*7)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30 (100%)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 (100%)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Electrocardiogram (24*7)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30 (100%)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 (100%)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Chest X-ray scan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30 (100%)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 (100%)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Pathway/procedures of stroke care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Intravenous tPA/urokinase thrombolysis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30 (100%)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 (100%)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Arterial thrombolysis/endovascular therapy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24 (80%)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16 (72.3%)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Carotid artery endarterectomy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19 (63.3%)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11 (50%)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Decompressive craniectomy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30 (100%)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22 (100%)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 xml:space="preserve">  Stroke unit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28 (93.3%)</w:t>
            </w:r>
          </w:p>
        </w:tc>
        <w:tc>
          <w:tcPr>
            <w:tcW w:w="11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8 (100%)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Arial" w:hAnsi="Arial" w:eastAsia="Arial Unicode MS" w:cs="Arial"/>
                <w:szCs w:val="21"/>
              </w:rPr>
            </w:pPr>
            <w:r>
              <w:rPr>
                <w:rFonts w:ascii="Arial" w:hAnsi="Arial" w:eastAsia="Arial Unicode MS" w:cs="Arial"/>
                <w:szCs w:val="21"/>
              </w:rPr>
              <w:t>20 (90.1%)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ind w:left="0" w:leftChars="0" w:right="0" w:rightChars="0"/>
        <w:jc w:val="both"/>
        <w:textAlignment w:val="auto"/>
        <w:outlineLvl w:val="9"/>
        <w:rPr>
          <w:rFonts w:ascii="Arial" w:hAnsi="Arial" w:eastAsia="Arial Unicode MS" w:cs="Arial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Europ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20912"/>
    <w:rsid w:val="25766BA6"/>
    <w:rsid w:val="5632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2019-09-23T12:13:00Z</dcterms:created>
  <dc:creator>钟晚思</dc:creator>
  <cp:lastModifiedBy>钟晚思</cp:lastModifiedBy>
  <dcterms:modified xsi:type="dcterms:W3CDTF">2019-11-12T02:26:34Z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